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812B61" w:rsidP="000E330A">
      <w:pPr>
        <w:spacing w:before="240" w:after="1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30 Normalizace výrobky</w:t>
      </w:r>
    </w:p>
    <w:p w:rsidR="00A8392D" w:rsidRDefault="00812B61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33 Domácí spotřebiče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Vývoj v roce 2015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2B61" w:rsidRPr="00812B61" w:rsidRDefault="00812B61" w:rsidP="00812B61">
      <w:pPr>
        <w:spacing w:before="240" w:after="120"/>
        <w:jc w:val="both"/>
        <w:rPr>
          <w:b/>
          <w:sz w:val="22"/>
          <w:szCs w:val="22"/>
        </w:rPr>
      </w:pPr>
      <w:r w:rsidRPr="00812B61">
        <w:rPr>
          <w:b/>
          <w:sz w:val="22"/>
          <w:szCs w:val="22"/>
        </w:rPr>
        <w:t>Souhrn, příklady výstupů zapojení: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Aktivita podporuje následující evropské politiky a právní předpisy: Roční Pracovní Program Evropská unie pro evropskou normalizaci na rok 2015; Směrnice o nízkém napětí (2006/95 / ES); Směrnice pro plynová zařízení (2009/142 / ES); směrnice pro strojní zařízení (2006/42 / ES); Směrnice o obecné bezpečnosti výrobků (2001/95 / ES); Program EU pro spotřebitele 2020 (cíle: zlepšení bezpečnosti spotřebitelů; zlepšování provádění; posílení prosazování a zajištění nápravy); Consumer </w:t>
      </w:r>
      <w:proofErr w:type="spellStart"/>
      <w:r w:rsidRPr="00812B61">
        <w:rPr>
          <w:sz w:val="22"/>
          <w:szCs w:val="22"/>
        </w:rPr>
        <w:t>Programme</w:t>
      </w:r>
      <w:proofErr w:type="spellEnd"/>
      <w:r w:rsidRPr="00812B61">
        <w:rPr>
          <w:sz w:val="22"/>
          <w:szCs w:val="22"/>
        </w:rPr>
        <w:t xml:space="preserve"> 2014-2020 (cíl: Bezpečnost - zvýšení bezpečnosti prostřednictvím účinného dozoru nad trhem v EU)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Popis práce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Elektrické spotřebiče podle směrnice o nízkém napětí - účast v  Pracovní skupině EK pro LVD,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Bezpečnost elektrických spotřebičů - účast v CENELEC / TC 61 a IEC / TC 61; Účast v CENELEC / TC 116; monitorování IEC / ACOS a podílet se v případě potřeby. Vše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Bezpečnost a výkon elektrických zařízení pro domácnost pro všechny zranitelné spotřebitele - účast v CENELEC / TC 61 / WG 4; Účast v IEC / TC 61 a její MT 4; účast v ostatních evropských a mezinárodních fórech podle potřeby. Vše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Lákavé (elektrické) výrobky pro děti - účast v CENELEC / TC 61 / WG 8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Plynové spotřebiče - plynová zařízení směrnice (GAD) - vliv na revizi GAD s cílem dosáhnout zpřísněné požadavky na instalaci a údržbu v obou právních předpisech a normách, prostřednictvím ANEC. 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Účast v CENELEC / TC 216 - emise CO a prevence otravy CO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Bezpečnost zahradní techniky - Účast v </w:t>
      </w:r>
      <w:proofErr w:type="gramStart"/>
      <w:r w:rsidRPr="00812B61">
        <w:rPr>
          <w:sz w:val="22"/>
          <w:szCs w:val="22"/>
        </w:rPr>
        <w:t>CEN</w:t>
      </w:r>
      <w:proofErr w:type="gramEnd"/>
      <w:r w:rsidRPr="00812B61">
        <w:rPr>
          <w:sz w:val="22"/>
          <w:szCs w:val="22"/>
        </w:rPr>
        <w:t xml:space="preserve"> / TC 144 / WG 7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Domácí spotřebiče v rámci obecné bezpečnosti výrobků - sledovat CEN / TC 281 &amp; jejích orgánů; účast v </w:t>
      </w:r>
      <w:proofErr w:type="gramStart"/>
      <w:r w:rsidRPr="00812B61">
        <w:rPr>
          <w:sz w:val="22"/>
          <w:szCs w:val="22"/>
        </w:rPr>
        <w:t>CEN</w:t>
      </w:r>
      <w:proofErr w:type="gramEnd"/>
      <w:r w:rsidRPr="00812B61">
        <w:rPr>
          <w:sz w:val="22"/>
          <w:szCs w:val="22"/>
        </w:rPr>
        <w:t xml:space="preserve"> / TC 152 prostřednictvím ANEC.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Povrchové teploty - sledování provádění CENELEC </w:t>
      </w:r>
      <w:proofErr w:type="spellStart"/>
      <w:r w:rsidRPr="00812B61">
        <w:rPr>
          <w:sz w:val="22"/>
          <w:szCs w:val="22"/>
        </w:rPr>
        <w:t>Guide</w:t>
      </w:r>
      <w:proofErr w:type="spellEnd"/>
      <w:r w:rsidRPr="00812B61">
        <w:rPr>
          <w:sz w:val="22"/>
          <w:szCs w:val="22"/>
        </w:rPr>
        <w:t xml:space="preserve"> 29 a EN ISO 13732-1 příslušnými orgány.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Dozor na </w:t>
      </w:r>
      <w:proofErr w:type="gramStart"/>
      <w:r w:rsidRPr="00812B61">
        <w:rPr>
          <w:sz w:val="22"/>
          <w:szCs w:val="22"/>
        </w:rPr>
        <w:t>trhem</w:t>
      </w:r>
      <w:proofErr w:type="gramEnd"/>
      <w:r w:rsidRPr="00812B61">
        <w:rPr>
          <w:sz w:val="22"/>
          <w:szCs w:val="22"/>
        </w:rPr>
        <w:t xml:space="preserve"> – účast na jednáních </w:t>
      </w:r>
      <w:proofErr w:type="spellStart"/>
      <w:r w:rsidRPr="00812B61">
        <w:rPr>
          <w:sz w:val="22"/>
          <w:szCs w:val="22"/>
        </w:rPr>
        <w:t>ProSafe</w:t>
      </w:r>
      <w:proofErr w:type="spellEnd"/>
      <w:r w:rsidRPr="00812B61">
        <w:rPr>
          <w:sz w:val="22"/>
          <w:szCs w:val="22"/>
        </w:rPr>
        <w:t xml:space="preserve"> ohledně společných akcí dozoru.</w:t>
      </w:r>
    </w:p>
    <w:p w:rsidR="00812B61" w:rsidRDefault="00812B61" w:rsidP="00812B61">
      <w:pPr>
        <w:spacing w:before="240" w:after="120"/>
        <w:jc w:val="both"/>
        <w:rPr>
          <w:sz w:val="22"/>
          <w:szCs w:val="22"/>
        </w:rPr>
      </w:pPr>
    </w:p>
    <w:p w:rsidR="00333B8E" w:rsidRPr="009360CB" w:rsidRDefault="00333B8E" w:rsidP="00812B61">
      <w:pPr>
        <w:spacing w:before="240" w:after="120"/>
        <w:jc w:val="both"/>
        <w:rPr>
          <w:sz w:val="22"/>
          <w:szCs w:val="22"/>
        </w:rPr>
      </w:pPr>
    </w:p>
    <w:p w:rsidR="00812B61" w:rsidRPr="00812B61" w:rsidRDefault="00812B61" w:rsidP="00812B61">
      <w:pPr>
        <w:spacing w:before="240" w:after="120"/>
        <w:jc w:val="both"/>
        <w:rPr>
          <w:b/>
          <w:sz w:val="22"/>
          <w:szCs w:val="22"/>
        </w:rPr>
      </w:pPr>
      <w:r w:rsidRPr="00812B61">
        <w:rPr>
          <w:b/>
          <w:sz w:val="22"/>
          <w:szCs w:val="22"/>
        </w:rPr>
        <w:lastRenderedPageBreak/>
        <w:t>Konkrétní oblasti</w:t>
      </w:r>
    </w:p>
    <w:p w:rsidR="00812B61" w:rsidRPr="00812B61" w:rsidRDefault="008645AC" w:rsidP="00812B61">
      <w:pPr>
        <w:spacing w:before="240" w:after="120"/>
        <w:jc w:val="both"/>
        <w:rPr>
          <w:b/>
          <w:sz w:val="22"/>
          <w:szCs w:val="22"/>
        </w:rPr>
      </w:pPr>
      <w:hyperlink r:id="rId9" w:tooltip="Eko design" w:history="1">
        <w:proofErr w:type="spellStart"/>
        <w:r w:rsidR="00812B61" w:rsidRPr="00812B61">
          <w:rPr>
            <w:b/>
            <w:sz w:val="22"/>
            <w:szCs w:val="22"/>
          </w:rPr>
          <w:t>Eko</w:t>
        </w:r>
        <w:proofErr w:type="spellEnd"/>
        <w:r w:rsidR="00812B61" w:rsidRPr="00812B61">
          <w:rPr>
            <w:b/>
            <w:sz w:val="22"/>
            <w:szCs w:val="22"/>
          </w:rPr>
          <w:t xml:space="preserve"> design</w:t>
        </w:r>
      </w:hyperlink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Dobrá zpráva pro spotřebitele – nižší náklady za energii - Vaření teď bude stát méně. V únoru vstoupila v platnost nová kritéria pro měření pro mikrovlnné trouby, varné desky či digestoře (</w:t>
      </w:r>
      <w:hyperlink r:id="rId10" w:history="1">
        <w:r w:rsidRPr="00812B61">
          <w:rPr>
            <w:sz w:val="22"/>
            <w:szCs w:val="22"/>
          </w:rPr>
          <w:t>Zde</w:t>
        </w:r>
      </w:hyperlink>
      <w:r w:rsidRPr="00812B61">
        <w:rPr>
          <w:sz w:val="22"/>
          <w:szCs w:val="22"/>
        </w:rPr>
        <w:t>). Očekává se, že zlepšením energetické účinnosti výrobků ušetří uživatel za cenu energií. Spotřebitelům doporučujeme, aby si všímali energetického štítku na výrobcích, což jim pomůže vybrat ten nejvhodnější produkt.</w:t>
      </w:r>
    </w:p>
    <w:p w:rsidR="00812B61" w:rsidRPr="00812B61" w:rsidRDefault="008645AC" w:rsidP="00812B61">
      <w:pPr>
        <w:spacing w:before="240" w:after="120"/>
        <w:jc w:val="both"/>
        <w:rPr>
          <w:b/>
          <w:sz w:val="22"/>
          <w:szCs w:val="22"/>
        </w:rPr>
      </w:pPr>
      <w:hyperlink r:id="rId11" w:tooltip="Eko označení" w:history="1">
        <w:proofErr w:type="spellStart"/>
        <w:r w:rsidR="00812B61" w:rsidRPr="00812B61">
          <w:rPr>
            <w:b/>
            <w:sz w:val="22"/>
            <w:szCs w:val="22"/>
          </w:rPr>
          <w:t>Eko</w:t>
        </w:r>
        <w:proofErr w:type="spellEnd"/>
        <w:r w:rsidR="00812B61" w:rsidRPr="00812B61">
          <w:rPr>
            <w:b/>
            <w:sz w:val="22"/>
            <w:szCs w:val="22"/>
          </w:rPr>
          <w:t xml:space="preserve"> označení</w:t>
        </w:r>
      </w:hyperlink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Změna značení produktů - Evropská komise publikovala 15. června 2015 návrh k revizi energetického značení produktů, kterým má dojít ke zrušení značení A plus (A+, A++, A+++) tříd a znovu - zavedení  jednoduchého schématu značení A až G. O tuto změnu značení spotřebitelé prostřednictvím ANEC dlouhodobě usilují. Proto vítáme tuto inciativu, proces si ovšem vyžádá delší dobu na zavedení. Bližší podrobnosti ke značení i další klíčové požadavky najdete </w:t>
      </w:r>
      <w:hyperlink r:id="rId12" w:history="1">
        <w:r w:rsidRPr="00812B61">
          <w:rPr>
            <w:sz w:val="22"/>
            <w:szCs w:val="22"/>
          </w:rPr>
          <w:t>Zde</w:t>
        </w:r>
      </w:hyperlink>
      <w:r w:rsidRPr="00812B61">
        <w:rPr>
          <w:sz w:val="22"/>
          <w:szCs w:val="22"/>
        </w:rPr>
        <w:t xml:space="preserve">. ANEC k této věci též vydal tiskovou zprávou k dispozici - </w:t>
      </w:r>
      <w:hyperlink r:id="rId13" w:history="1">
        <w:r w:rsidRPr="00812B61">
          <w:rPr>
            <w:sz w:val="22"/>
            <w:szCs w:val="22"/>
          </w:rPr>
          <w:t>Zde</w:t>
        </w:r>
      </w:hyperlink>
      <w:r w:rsidRPr="00812B61">
        <w:rPr>
          <w:sz w:val="22"/>
          <w:szCs w:val="22"/>
        </w:rPr>
        <w:t>.</w:t>
      </w:r>
    </w:p>
    <w:p w:rsidR="00812B61" w:rsidRPr="00812B61" w:rsidRDefault="008645AC" w:rsidP="00812B61">
      <w:pPr>
        <w:spacing w:before="240" w:after="120"/>
        <w:jc w:val="both"/>
        <w:rPr>
          <w:b/>
          <w:sz w:val="22"/>
          <w:szCs w:val="22"/>
        </w:rPr>
      </w:pPr>
      <w:hyperlink r:id="rId14" w:tooltip="Eko označení" w:history="1">
        <w:r w:rsidR="00812B61" w:rsidRPr="00812B61">
          <w:rPr>
            <w:b/>
            <w:sz w:val="22"/>
            <w:szCs w:val="22"/>
          </w:rPr>
          <w:t>Technické požadavky na domácí spotřebiče</w:t>
        </w:r>
      </w:hyperlink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Nebezpečné zpomalovače hoření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Spotřebitelé prostřednictvím ANEC již několik let vnímají nutnost zastavení používání nebezpečných zpomalovačů hoření v televizních přijímačích. Normy, které se týkají bezpečnosti audio-vizuálního zařízení, včetně televizních setů obsahují doplňující větu o potřebě produkce televizních přijímačů způsobem, kterým má dojít k snížení pravděpodobnosti vznícení a šíření ohně způsobeného plamenem svíčky. Jeden (pravděpodobně nejjednodušší a nejlevnější) způsob pro výrobce, kterým má dodržet tento požadavek, je použití zpomalovačů hoření, které mohou vykazovat aspekty nebezpečnosti pro prostředí i spotřebitele. O tom jsme již informovali v minulém číslu našeho e-žurnálu.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Mezitím došlo k paralelnímu hlasování (v IEC a v CENELEC) o revizi dvou norem IEC / EN </w:t>
      </w:r>
      <w:proofErr w:type="gramStart"/>
      <w:r w:rsidRPr="00812B61">
        <w:rPr>
          <w:sz w:val="22"/>
          <w:szCs w:val="22"/>
        </w:rPr>
        <w:t>60065-A1Ed8</w:t>
      </w:r>
      <w:proofErr w:type="gramEnd"/>
      <w:r w:rsidRPr="00812B61">
        <w:rPr>
          <w:sz w:val="22"/>
          <w:szCs w:val="22"/>
        </w:rPr>
        <w:t xml:space="preserve"> a IEC / EN 62368-1-A1. Spotřebitelé se stavěli proti přijetí norem, a proto vítají, že obě normy byly národními výbory zamítnuty.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Revize příručky o nízkém napětí - Po zveřejnění směrnice o nízkém napětí (2014/35/EU) vznikla nová podskupina, aby zrevidovala pokyny k provádění směrnice. Příručka se snaží poskytovat lepší pochopení toho, jakým způsobem mají být pokyny uplatňovány v praxi. Spotřebitelé se prostřednictvím ANEC připojili k prvnímu setkání podskupiny, které se konalo v Bruselu dne 10. června. Plán je představit návrhy revidovaných pokynů na budoucích zasedáních pracovní skupiny LVD. Nové pokyny budou připraveny k datu účinnosti směrnice - v dubnu 2016.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Nařízení o plynových zařízeních nově - Výbor Evropského parlamentu pro vnitřní trh a ochranu spotřebitele (IMCO) schválil v dubnu návrh na úpravu nařízení o spotřebičích na plynná paliva. Spotřebitelé prostřednictvím ANEC uplatnili do IMCO několik pozměňovacích návrhů ve vztahu k prevenci otravy oxidem uhelnatým. Aby se snížilo riziko otravy oxidem uhelnatým, poslanci od výrobců mimo jiné požadují, aby v pokynech pro spotřebitele stálo, že každá instalace nebo údržba plynových spotřebičů má být provedena profesionály. To je v souladu s tím, o co ANEC žádal už v listopadu 2014 - </w:t>
      </w:r>
      <w:hyperlink r:id="rId15" w:history="1">
        <w:r w:rsidRPr="00812B61">
          <w:rPr>
            <w:sz w:val="22"/>
            <w:szCs w:val="22"/>
          </w:rPr>
          <w:t>Zde</w:t>
        </w:r>
      </w:hyperlink>
      <w:r w:rsidRPr="00812B61">
        <w:rPr>
          <w:sz w:val="22"/>
          <w:szCs w:val="22"/>
        </w:rPr>
        <w:t>. Na druhé straně, bohužel ve zprávě chybí vhodná úprava informace o pravidelném servisu plynných spotřebičů. To je klíčovým aspektem, aby byla bezpečnost a zdraví dostatečně zajištěna.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lastRenderedPageBreak/>
        <w:t>Provádění evropské regulace zdravotnických prostředků - Od 1. 4. 2015 je účinný nový zákon č. 268/2014 Sb., o zdravotnických prostředcích ve znění pozdějších předpisů. Dále, jsou účinná i nová nařízení vlády pro zdravotnické prostředky, která vychází z evropských směrnic:</w:t>
      </w:r>
    </w:p>
    <w:p w:rsidR="00812B61" w:rsidRPr="00812B61" w:rsidRDefault="00812B61" w:rsidP="00812B61">
      <w:pPr>
        <w:spacing w:before="240" w:after="120"/>
        <w:ind w:left="708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nařízení vlády č. 54/2015 Sb., o technických požadavcích na zdravotnické prostředky (54/2015 Sb.),</w:t>
      </w:r>
    </w:p>
    <w:p w:rsidR="00812B61" w:rsidRPr="00812B61" w:rsidRDefault="00812B61" w:rsidP="00812B61">
      <w:pPr>
        <w:spacing w:before="240" w:after="120"/>
        <w:ind w:left="708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nařízení vlády č. 55/2015 Sb., o techn. požadavcích na aktivní </w:t>
      </w:r>
      <w:proofErr w:type="spellStart"/>
      <w:r w:rsidRPr="00812B61">
        <w:rPr>
          <w:sz w:val="22"/>
          <w:szCs w:val="22"/>
        </w:rPr>
        <w:t>implantabilní</w:t>
      </w:r>
      <w:proofErr w:type="spellEnd"/>
      <w:r w:rsidRPr="00812B61">
        <w:rPr>
          <w:sz w:val="22"/>
          <w:szCs w:val="22"/>
        </w:rPr>
        <w:t xml:space="preserve"> zdravotnické prostředky (55/2015 Sb.),</w:t>
      </w:r>
    </w:p>
    <w:p w:rsidR="00812B61" w:rsidRPr="00812B61" w:rsidRDefault="00812B61" w:rsidP="00812B61">
      <w:pPr>
        <w:spacing w:before="240" w:after="120"/>
        <w:ind w:left="708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nařízení vlády č. 56/2015 Sb., o technických požadavcích na diagnostické zdravotnické prostředky in vitro.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Normy pro bezpečnost jízdních kol revidovány - Spotřebitelé se dočkali revidovaných norem na bezpečnost jízdních kol pro děti i dospělé. Spoluprací na evropské i globální úrovni byly vydány (ještě v r. 2014) normy EN ISO 4210 a EN ISO 8098. Evropská komise plánuje zveřejnit reference k novým normám v Úředním věstníku EU, což znamená, že jejich splnění bude průkazem k zajištění bezpečnosti výrobku podle směrnice o obecné bezpečnosti.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Nové ČSN důležité pro spotřebitele: - ČSN EN 15496 Jízdní kola - Požadavky a zkušební metody pro zámky jízdních kol (vydáno v květnu 2015)</w:t>
      </w:r>
    </w:p>
    <w:p w:rsidR="00812B61" w:rsidRPr="00812B61" w:rsidRDefault="00812B61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 xml:space="preserve">TISK 3D - 3D tisk je proces, při kterém se prostřednictvím specifického zařízení vytvářejí trojrozměrné objekty z vhodného materiálu. Tisk po vrstvách je řízen ovládací elektronikou na základě programové předlohy. V současnosti se jedná o velmi rozšířený trend a je velkou revolucí na trhu. Zákazníci můžou ovlivnit i design produktů a přizpůsobit ho tak svým potřebám. 3 D tiskárny mají mimo jiné dopad i na bezpečnost spotřebitelů a této oblasti je potřebné věnovat náležitou pozornost. K dispozici je publikace, která podává vysvětlení, jakým způsobem 3 D tiskárny pracují, jakým způsobem se změní design, produkce. Publikace rovněž poskytuje návrhy a doporučení pro podporu bezpečnosti produktů. Publikace je k dispozici na stránkách společnosti </w:t>
      </w:r>
      <w:proofErr w:type="spellStart"/>
      <w:r w:rsidRPr="00812B61">
        <w:rPr>
          <w:sz w:val="22"/>
          <w:szCs w:val="22"/>
        </w:rPr>
        <w:t>Product</w:t>
      </w:r>
      <w:proofErr w:type="spellEnd"/>
      <w:r w:rsidRPr="00812B61">
        <w:rPr>
          <w:sz w:val="22"/>
          <w:szCs w:val="22"/>
        </w:rPr>
        <w:t xml:space="preserve"> </w:t>
      </w:r>
      <w:proofErr w:type="spellStart"/>
      <w:r w:rsidRPr="00812B61">
        <w:rPr>
          <w:sz w:val="22"/>
          <w:szCs w:val="22"/>
        </w:rPr>
        <w:t>Safety</w:t>
      </w:r>
      <w:proofErr w:type="spellEnd"/>
      <w:r w:rsidRPr="00812B61">
        <w:rPr>
          <w:sz w:val="22"/>
          <w:szCs w:val="22"/>
        </w:rPr>
        <w:t xml:space="preserve"> </w:t>
      </w:r>
      <w:proofErr w:type="spellStart"/>
      <w:r w:rsidRPr="00812B61">
        <w:rPr>
          <w:sz w:val="22"/>
          <w:szCs w:val="22"/>
        </w:rPr>
        <w:t>Solutions</w:t>
      </w:r>
      <w:proofErr w:type="spellEnd"/>
      <w:r w:rsidRPr="00812B61">
        <w:rPr>
          <w:sz w:val="22"/>
          <w:szCs w:val="22"/>
        </w:rPr>
        <w:t xml:space="preserve"> - </w:t>
      </w:r>
      <w:hyperlink r:id="rId16" w:tgtFrame="_blank" w:history="1">
        <w:r w:rsidRPr="00812B61">
          <w:rPr>
            <w:sz w:val="22"/>
            <w:szCs w:val="22"/>
          </w:rPr>
          <w:t>website</w:t>
        </w:r>
      </w:hyperlink>
      <w:r w:rsidRPr="00812B61">
        <w:rPr>
          <w:sz w:val="22"/>
          <w:szCs w:val="22"/>
        </w:rPr>
        <w:t xml:space="preserve">.  </w:t>
      </w:r>
    </w:p>
    <w:p w:rsidR="00C62AAE" w:rsidRPr="00812B61" w:rsidRDefault="00631BCE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Prosinec 2015, Dupal</w:t>
      </w:r>
      <w:r w:rsidR="00BB07A6">
        <w:rPr>
          <w:sz w:val="22"/>
          <w:szCs w:val="22"/>
        </w:rPr>
        <w:tab/>
      </w:r>
    </w:p>
    <w:sectPr w:rsidR="00C62AAE" w:rsidRPr="00812B61" w:rsidSect="00CA4A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C" w:rsidRDefault="008645AC">
      <w:r>
        <w:separator/>
      </w:r>
    </w:p>
  </w:endnote>
  <w:endnote w:type="continuationSeparator" w:id="0">
    <w:p w:rsidR="008645AC" w:rsidRDefault="0086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71B3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8645AC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C" w:rsidRDefault="008645AC">
      <w:r>
        <w:separator/>
      </w:r>
    </w:p>
  </w:footnote>
  <w:footnote w:type="continuationSeparator" w:id="0">
    <w:p w:rsidR="008645AC" w:rsidRDefault="0086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B79EB"/>
    <w:multiLevelType w:val="hybridMultilevel"/>
    <w:tmpl w:val="735AD90A"/>
    <w:lvl w:ilvl="0" w:tplc="01489DE2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D2B04D3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3"/>
  </w:num>
  <w:num w:numId="5">
    <w:abstractNumId w:val="20"/>
  </w:num>
  <w:num w:numId="6">
    <w:abstractNumId w:val="16"/>
  </w:num>
  <w:num w:numId="7">
    <w:abstractNumId w:val="7"/>
  </w:num>
  <w:num w:numId="8">
    <w:abstractNumId w:val="30"/>
  </w:num>
  <w:num w:numId="9">
    <w:abstractNumId w:val="28"/>
  </w:num>
  <w:num w:numId="10">
    <w:abstractNumId w:val="4"/>
  </w:num>
  <w:num w:numId="11">
    <w:abstractNumId w:val="19"/>
  </w:num>
  <w:num w:numId="12">
    <w:abstractNumId w:val="15"/>
  </w:num>
  <w:num w:numId="13">
    <w:abstractNumId w:val="25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27"/>
  </w:num>
  <w:num w:numId="19">
    <w:abstractNumId w:val="22"/>
  </w:num>
  <w:num w:numId="20">
    <w:abstractNumId w:val="8"/>
  </w:num>
  <w:num w:numId="21">
    <w:abstractNumId w:val="11"/>
  </w:num>
  <w:num w:numId="22">
    <w:abstractNumId w:val="24"/>
  </w:num>
  <w:num w:numId="23">
    <w:abstractNumId w:val="18"/>
  </w:num>
  <w:num w:numId="24">
    <w:abstractNumId w:val="29"/>
  </w:num>
  <w:num w:numId="25">
    <w:abstractNumId w:val="2"/>
  </w:num>
  <w:num w:numId="26">
    <w:abstractNumId w:val="6"/>
  </w:num>
  <w:num w:numId="27">
    <w:abstractNumId w:val="26"/>
  </w:num>
  <w:num w:numId="28">
    <w:abstractNumId w:val="14"/>
  </w:num>
  <w:num w:numId="29">
    <w:abstractNumId w:val="21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50C93"/>
    <w:rsid w:val="00277C59"/>
    <w:rsid w:val="00280435"/>
    <w:rsid w:val="002A71B3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2B61"/>
    <w:rsid w:val="008135F0"/>
    <w:rsid w:val="00815610"/>
    <w:rsid w:val="008645AC"/>
    <w:rsid w:val="00876265"/>
    <w:rsid w:val="0089064E"/>
    <w:rsid w:val="00891182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ec.eu/attachments/ANEC-PR-2015-PRL-005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nec.eu/attachments/ANEC_BEUC%20key%20priorities%20in%20the%20revision%20of%20the%20EU%20Energy%20Labe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oductsafetysolutions.com.a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-normy.cz/service/index.php?id_page=2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ec.eu/attachments/ANEC-DOMAP-2014-G-03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europa.eu/energy/en/news/consumers-can-now-save-50-euros-year-their-energy-bills-thanks-new-eu-energy-efficiency-rul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p-normy.cz/service/index.php?id_page=225" TargetMode="External"/><Relationship Id="rId14" Type="http://schemas.openxmlformats.org/officeDocument/2006/relationships/hyperlink" Target="http://www.top-normy.cz/service/index.php?id_page=205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8046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2</cp:revision>
  <cp:lastPrinted>2003-01-13T05:58:00Z</cp:lastPrinted>
  <dcterms:created xsi:type="dcterms:W3CDTF">2016-02-09T14:14:00Z</dcterms:created>
  <dcterms:modified xsi:type="dcterms:W3CDTF">2016-02-09T14:14:00Z</dcterms:modified>
</cp:coreProperties>
</file>